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9A" w:rsidRDefault="00A2159A" w:rsidP="0029013C">
      <w:r>
        <w:t xml:space="preserve">                                         Список новых поступлений по экономике</w:t>
      </w:r>
    </w:p>
    <w:p w:rsidR="00A2159A" w:rsidRDefault="00A2159A" w:rsidP="0029013C"/>
    <w:p w:rsidR="00A2159A" w:rsidRDefault="00A2159A" w:rsidP="0029013C"/>
    <w:p w:rsidR="00A2159A" w:rsidRDefault="00A2159A" w:rsidP="0029013C"/>
    <w:p w:rsidR="0029013C" w:rsidRDefault="0029013C" w:rsidP="0029013C">
      <w:r>
        <w:t>1. Агафонов, В. А.</w:t>
      </w:r>
    </w:p>
    <w:p w:rsidR="0029013C" w:rsidRDefault="0029013C" w:rsidP="0029013C">
      <w:r>
        <w:t xml:space="preserve">    Стратегия инновационного развития региона / В. А. Агафонов // Аудит и финансовый анализ. – 2017. – № 1. – С. 337-348</w:t>
      </w:r>
    </w:p>
    <w:p w:rsidR="0029013C" w:rsidRDefault="0029013C" w:rsidP="0029013C">
      <w:r>
        <w:t xml:space="preserve"> – В настоящей статье рассматриваются методологические и методические разработки региональных стратегий, ориентированных на инновационное развитие.</w:t>
      </w:r>
    </w:p>
    <w:p w:rsidR="0029013C" w:rsidRDefault="0029013C" w:rsidP="0029013C"/>
    <w:p w:rsidR="0029013C" w:rsidRDefault="0029013C" w:rsidP="0029013C"/>
    <w:p w:rsidR="0029013C" w:rsidRDefault="0029013C" w:rsidP="0029013C">
      <w:r>
        <w:t>2. Антропов, В.</w:t>
      </w:r>
    </w:p>
    <w:p w:rsidR="0029013C" w:rsidRDefault="0029013C" w:rsidP="0029013C">
      <w:r>
        <w:t xml:space="preserve">    Европейская социальная модель и политика жесткой экономии / В. Антропов // Мировая экономика и международные отношения. – 2017. – № 3. – С. 45-54</w:t>
      </w:r>
    </w:p>
    <w:p w:rsidR="00A2159A" w:rsidRDefault="00A2159A" w:rsidP="0029013C"/>
    <w:p w:rsidR="0029013C" w:rsidRDefault="0029013C" w:rsidP="0029013C">
      <w:r>
        <w:t xml:space="preserve"> – Рассматриваются теоретические и практические аспекты функционирования европейской социальной модели как формы социально-экономической организации общества в 2009–2014 гг. Особое внимание уделено проблемам на рынке труда, в сферах общественной занятости, здравоохранения и пенсионного обеспечения. Показано, что меры жесткой экономии не обеспечили экономического роста, а, напротив, способствовали увеличению масштабов безработицы и бедности, деградации систем образования и здравоохранения. Сделан вывод о том, что в условиях отсутствия солидарности и роста неравенства как внутри государств, так и между государствами ЕС пока не приходится говорить о существовании единой социальной политики на уровне ЕС, а, значит, и о существовании единой европейской социальной модели.</w:t>
      </w:r>
    </w:p>
    <w:p w:rsidR="0029013C" w:rsidRDefault="0029013C" w:rsidP="0029013C">
      <w:r>
        <w:t xml:space="preserve"> </w:t>
      </w:r>
    </w:p>
    <w:p w:rsidR="0029013C" w:rsidRDefault="0029013C" w:rsidP="0029013C"/>
    <w:p w:rsidR="0029013C" w:rsidRDefault="0029013C" w:rsidP="0029013C">
      <w:r>
        <w:t xml:space="preserve">3. </w:t>
      </w:r>
      <w:proofErr w:type="spellStart"/>
      <w:r>
        <w:t>Ахметшина</w:t>
      </w:r>
      <w:proofErr w:type="spellEnd"/>
      <w:r>
        <w:t>, Л. Г.</w:t>
      </w:r>
    </w:p>
    <w:p w:rsidR="0029013C" w:rsidRDefault="0029013C" w:rsidP="0029013C">
      <w:r>
        <w:t xml:space="preserve">    Международное сотрудничество в решении глобальной продовольственной проблемы / Л. Г. </w:t>
      </w:r>
      <w:proofErr w:type="spellStart"/>
      <w:r>
        <w:t>Ахметшина</w:t>
      </w:r>
      <w:proofErr w:type="spellEnd"/>
      <w:r>
        <w:t>, Л. А. Шмелева // Аудит и финансовый анализ. – 2017. – № 1. – С. 349-352</w:t>
      </w:r>
    </w:p>
    <w:p w:rsidR="00A2159A" w:rsidRDefault="00A2159A" w:rsidP="0029013C"/>
    <w:p w:rsidR="0029013C" w:rsidRDefault="0029013C" w:rsidP="0029013C">
      <w:r>
        <w:t xml:space="preserve"> – В статье рассмотрены современное состояние глобальной продовольственной проблемы и основные меры в решении данной проблемы с учетом уровней сотрудничества. Разработаны приоритетные направления в решении глобальной продовольственной проблемы.</w:t>
      </w:r>
    </w:p>
    <w:p w:rsidR="0029013C" w:rsidRDefault="0029013C" w:rsidP="0029013C"/>
    <w:p w:rsidR="0029013C" w:rsidRDefault="0029013C" w:rsidP="0029013C"/>
    <w:p w:rsidR="008D7699" w:rsidRDefault="0029013C" w:rsidP="0029013C">
      <w:r>
        <w:t>4. Балынин, И. В.</w:t>
      </w:r>
    </w:p>
    <w:p w:rsidR="0029013C" w:rsidRDefault="0029013C" w:rsidP="0029013C">
      <w:r>
        <w:t xml:space="preserve">    Пенсионные системы зарубежных стран: анализ ключевых показателей и особенности построения / И. В. Балынин // Аудит и финансовый анализ. – 2017. – № 1. – С. 353-358</w:t>
      </w:r>
    </w:p>
    <w:p w:rsidR="0029013C" w:rsidRDefault="0029013C" w:rsidP="0029013C"/>
    <w:p w:rsidR="0029013C" w:rsidRDefault="0029013C" w:rsidP="0029013C"/>
    <w:p w:rsidR="0029013C" w:rsidRDefault="0029013C" w:rsidP="0029013C">
      <w:r>
        <w:t>5. Виленский, А. В.</w:t>
      </w:r>
    </w:p>
    <w:p w:rsidR="0029013C" w:rsidRDefault="0029013C" w:rsidP="0029013C">
      <w:r>
        <w:t xml:space="preserve">    Содействие развитию малого и среднего предпринимательства: болгарский опыт для российских регионов / А. В. Виленский, О. В. Лылова // Аудит и финансовый анализ. – 2017. – № 1. – С. 372-376</w:t>
      </w:r>
    </w:p>
    <w:p w:rsidR="0029013C" w:rsidRDefault="0029013C" w:rsidP="0029013C"/>
    <w:p w:rsidR="0029013C" w:rsidRDefault="0029013C" w:rsidP="0029013C"/>
    <w:p w:rsidR="0029013C" w:rsidRDefault="0029013C" w:rsidP="0029013C">
      <w:r>
        <w:t>6. Завгородняя, В. В.</w:t>
      </w:r>
    </w:p>
    <w:p w:rsidR="0029013C" w:rsidRDefault="0029013C" w:rsidP="0029013C">
      <w:r>
        <w:t xml:space="preserve">    Организационные особенности бюджетного финансирования научно-исследовательских работ в Российской Федерации, Германии и Японии / В. В. Завгородняя // Аудит и финансовый анализ. – 2017. – № 1. – С. 200-206</w:t>
      </w:r>
    </w:p>
    <w:p w:rsidR="0029013C" w:rsidRDefault="0029013C" w:rsidP="0029013C"/>
    <w:p w:rsidR="0029013C" w:rsidRDefault="0029013C" w:rsidP="0029013C"/>
    <w:p w:rsidR="0029013C" w:rsidRDefault="0029013C" w:rsidP="0029013C">
      <w:r>
        <w:t>7. Гришин, И.</w:t>
      </w:r>
    </w:p>
    <w:p w:rsidR="0029013C" w:rsidRDefault="0029013C" w:rsidP="0029013C">
      <w:r>
        <w:t xml:space="preserve">    Клиометрия шведской модели / И. Гришин // Мировая экономика и международные отношения. – 2017. – № 3. – С. 55-67</w:t>
      </w:r>
    </w:p>
    <w:p w:rsidR="008D7699" w:rsidRDefault="008D7699" w:rsidP="0029013C"/>
    <w:p w:rsidR="0029013C" w:rsidRDefault="0029013C" w:rsidP="0029013C">
      <w:r>
        <w:t xml:space="preserve"> – В статье даются клиометрические характеристики шведской модели в таких сферах ее проявления, как госрасходы; де</w:t>
      </w:r>
      <w:r w:rsidR="008D7699">
        <w:t xml:space="preserve"> </w:t>
      </w:r>
      <w:r>
        <w:t>- и ремаркетизация, приватизация; политика “социального выравнивания”; рынок труда; властные ресурсы социал-демократии.</w:t>
      </w:r>
    </w:p>
    <w:p w:rsidR="0029013C" w:rsidRDefault="0029013C" w:rsidP="0029013C"/>
    <w:p w:rsidR="0029013C" w:rsidRDefault="0029013C" w:rsidP="0029013C"/>
    <w:p w:rsidR="008D7699" w:rsidRDefault="0029013C" w:rsidP="008D7699">
      <w:r>
        <w:t xml:space="preserve">8. </w:t>
      </w:r>
      <w:r w:rsidR="008D7699">
        <w:t>Ишина, И. В.</w:t>
      </w:r>
    </w:p>
    <w:p w:rsidR="008D7699" w:rsidRDefault="008D7699" w:rsidP="008D7699">
      <w:r>
        <w:t xml:space="preserve">    Финансирование научных исследований, выполняемых образовательными и научными учреждениями: анализ российской и зарубежной практики / И. В. Ишина // Аудит и финансовый анализ. – 2017. – № 1. – С. 433-439</w:t>
      </w:r>
    </w:p>
    <w:p w:rsidR="0029013C" w:rsidRDefault="008D7699" w:rsidP="0029013C">
      <w:r>
        <w:lastRenderedPageBreak/>
        <w:t xml:space="preserve">9. </w:t>
      </w:r>
      <w:r w:rsidR="0029013C">
        <w:t>Дежина, И.</w:t>
      </w:r>
    </w:p>
    <w:p w:rsidR="0029013C" w:rsidRDefault="0029013C" w:rsidP="0029013C">
      <w:r>
        <w:t xml:space="preserve">    Tech City UK [инновационный центр в Великобритании] / И. Дежина, А. Ефимов // Мировая экономика и международные отношения. – 2017. – № 3. – С. 94-99</w:t>
      </w:r>
    </w:p>
    <w:p w:rsidR="008D7699" w:rsidRDefault="008D7699" w:rsidP="0029013C"/>
    <w:p w:rsidR="0029013C" w:rsidRDefault="0029013C" w:rsidP="0029013C">
      <w:r>
        <w:t xml:space="preserve"> – Рассмотрен опыт деятельности инновационного центра Tech City UK в Великобритании. Выявлены основные используемые в нем механизмы поддержки фирм, создающих программное обеспечение и мультимедийные продукты. Изучены связи организации с предпринимательским сообществом и роль государства. В свете проведенного анализа сформулированы предположения о возможных способах повышения результативности деятельности отечественных инновационных центров “Сколково” и “Иннополис”.</w:t>
      </w:r>
    </w:p>
    <w:p w:rsidR="0029013C" w:rsidRDefault="0029013C" w:rsidP="0029013C"/>
    <w:p w:rsidR="0029013C" w:rsidRDefault="0029013C" w:rsidP="0029013C"/>
    <w:p w:rsidR="0029013C" w:rsidRDefault="0029013C" w:rsidP="0029013C">
      <w:r>
        <w:t>10. Ламберова, Н. А.</w:t>
      </w:r>
    </w:p>
    <w:p w:rsidR="0029013C" w:rsidRDefault="0029013C" w:rsidP="0029013C">
      <w:r>
        <w:t xml:space="preserve">    Обзор мировой практики корпоративной социальной ответственности / Н. А. Ламберова // Управление устойчивым развитием. – 2016. – № 6 (07). – С. 21-28</w:t>
      </w:r>
    </w:p>
    <w:p w:rsidR="0029013C" w:rsidRDefault="0029013C" w:rsidP="0029013C"/>
    <w:p w:rsidR="0029013C" w:rsidRDefault="0029013C" w:rsidP="0029013C"/>
    <w:p w:rsidR="0029013C" w:rsidRDefault="0029013C" w:rsidP="0029013C"/>
    <w:p w:rsidR="0029013C" w:rsidRDefault="0029013C" w:rsidP="0029013C">
      <w:r>
        <w:t>11. Романова, Н. В.</w:t>
      </w:r>
    </w:p>
    <w:p w:rsidR="0029013C" w:rsidRDefault="0029013C" w:rsidP="0029013C">
      <w:r>
        <w:t xml:space="preserve">    Финансовая безопасность как важнейший аспект деятельности современных государств и крупных корпораций / Н. В. Романова, Д. Г. Кахриманова // Аудит и финансовый анализ. – 2017. – № 1. – С. 260-263</w:t>
      </w:r>
    </w:p>
    <w:p w:rsidR="008D7699" w:rsidRDefault="008D7699" w:rsidP="0029013C"/>
    <w:p w:rsidR="0029013C" w:rsidRDefault="0029013C" w:rsidP="0029013C">
      <w:r>
        <w:t xml:space="preserve"> – Вопросы обеспечения финансовой безопасности государств и крупных корпораций в настоящее время являются вполне актуальными. Все большее значение в этой связи приобретают способы и методы защиты государств и хозяйствующих субъектов от внезапно возникающих угроз, опасностей, неопределенностей и рисков.</w:t>
      </w:r>
    </w:p>
    <w:p w:rsidR="0029013C" w:rsidRDefault="0029013C" w:rsidP="0029013C"/>
    <w:p w:rsidR="0029013C" w:rsidRDefault="0029013C" w:rsidP="0029013C"/>
    <w:p w:rsidR="0029013C" w:rsidRDefault="0029013C" w:rsidP="0029013C">
      <w:r>
        <w:t>12. Сметанина, А. И.</w:t>
      </w:r>
    </w:p>
    <w:p w:rsidR="0029013C" w:rsidRDefault="0029013C" w:rsidP="0029013C">
      <w:r>
        <w:t xml:space="preserve">    Стратегия развития виртуального предпринимательства в условиях информационного общества / А. И. Сметанина, И. А. Морозова // Аудит и финансовый анализ. – 2017. – № 1. – С. 396-400</w:t>
      </w:r>
    </w:p>
    <w:p w:rsidR="0029013C" w:rsidRDefault="0029013C" w:rsidP="0029013C"/>
    <w:p w:rsidR="0029013C" w:rsidRDefault="0029013C" w:rsidP="0029013C"/>
    <w:p w:rsidR="00CA34B3" w:rsidRDefault="0029013C" w:rsidP="00CA34B3">
      <w:r>
        <w:t>13.</w:t>
      </w:r>
      <w:r w:rsidR="00CA34B3" w:rsidRPr="00CA34B3">
        <w:t xml:space="preserve"> </w:t>
      </w:r>
      <w:r w:rsidR="00CA34B3">
        <w:t>Белоглазова, С. А.</w:t>
      </w:r>
    </w:p>
    <w:p w:rsidR="00CA34B3" w:rsidRDefault="00CA34B3" w:rsidP="00CA34B3">
      <w:r>
        <w:t xml:space="preserve">    Международный опыт картирования как метода идентификации региональных кластеров / С. А. Белоглазова // Экономические науки. – 2016. – № 10. – С. 7-13</w:t>
      </w:r>
    </w:p>
    <w:p w:rsidR="008D7699" w:rsidRDefault="008D7699" w:rsidP="00CA34B3"/>
    <w:p w:rsidR="00CA34B3" w:rsidRDefault="00CA34B3" w:rsidP="00CA34B3">
      <w:r>
        <w:t xml:space="preserve"> – В статье представлен анализ зарубежного опыта идентификации кластеров путем картирования, рассмотрена эволюция методологии картирования кластеров и выявлены особенности ее применения в США и Европе.</w:t>
      </w:r>
    </w:p>
    <w:p w:rsidR="00CA34B3" w:rsidRDefault="00CA34B3" w:rsidP="00CA34B3"/>
    <w:p w:rsidR="00CA34B3" w:rsidRDefault="00CA34B3" w:rsidP="00CA34B3"/>
    <w:p w:rsidR="00CA34B3" w:rsidRDefault="00CA34B3" w:rsidP="00CA34B3">
      <w:r>
        <w:t>14. Фахрутдинова, Е. В.</w:t>
      </w:r>
    </w:p>
    <w:p w:rsidR="00CA34B3" w:rsidRDefault="00CA34B3" w:rsidP="00CA34B3">
      <w:r>
        <w:t xml:space="preserve">    Анализ энергетических кластеров и их влияния на социально-экономическое развитие регионов России / Е. В. Фахрутдинова, Д. В. Роднянский // Экономические науки. – 2016. – № 9. – С. 26-29</w:t>
      </w:r>
    </w:p>
    <w:p w:rsidR="008D7699" w:rsidRDefault="008D7699" w:rsidP="00CA34B3"/>
    <w:p w:rsidR="00CA34B3" w:rsidRDefault="00CA34B3" w:rsidP="00CA34B3">
      <w:r>
        <w:t xml:space="preserve"> – Рассмотрены показатели развития основных энергетических кластеров России, проведен анализ их воздействия на социально-экономические показатели регионов. Обобщен статистический материал, проведен </w:t>
      </w:r>
      <w:r w:rsidR="008D7699">
        <w:t xml:space="preserve"> </w:t>
      </w:r>
      <w:r>
        <w:t>регрессионно</w:t>
      </w:r>
      <w:r w:rsidR="008D7699">
        <w:t xml:space="preserve"> </w:t>
      </w:r>
      <w:r>
        <w:t>-</w:t>
      </w:r>
      <w:r w:rsidR="008D7699">
        <w:t xml:space="preserve"> </w:t>
      </w:r>
      <w:r>
        <w:t>корреляционный анализ, построены уравнения регрессии, а также даны прогнозы в отношении валового регионального продукта каждого региона в зависимости от темпов развития кластеров.</w:t>
      </w:r>
    </w:p>
    <w:p w:rsidR="00CA34B3" w:rsidRDefault="00CA34B3" w:rsidP="00CA34B3"/>
    <w:p w:rsidR="00CA34B3" w:rsidRDefault="00CA34B3" w:rsidP="00CA34B3"/>
    <w:p w:rsidR="00CA34B3" w:rsidRDefault="00CA34B3" w:rsidP="00CA34B3">
      <w:r>
        <w:t>15. Еферина, Т. В.</w:t>
      </w:r>
    </w:p>
    <w:p w:rsidR="00CA34B3" w:rsidRDefault="00CA34B3" w:rsidP="00CA34B3">
      <w:r>
        <w:t xml:space="preserve">    Инновационная инфраструктура в регионах Российской Федерации как фактор межрегиональной дифференциации / Т. В. Еферина [и др.] // Вопросы государственного и муниципального управления . – 2017. – № 1. – С. 191-212</w:t>
      </w:r>
    </w:p>
    <w:p w:rsidR="008D7699" w:rsidRDefault="008D7699" w:rsidP="00CA34B3"/>
    <w:p w:rsidR="00CA34B3" w:rsidRDefault="00CA34B3" w:rsidP="00CA34B3">
      <w:r>
        <w:t xml:space="preserve"> – Статья посвящена вопросам мониторинга и оценки эффективности функционирования инновационной инфраструктуры в регионах Российской Федерации. Впервые представлены данные о региональных элементах инновационной инфраструктуры, их ключевых характеристиках и предложен подход к оценке эффективности их деятельности. Статья подготовлена по результатам сплошного исследования субъектов Российской Федерации на предмет наличия и характеристик элементов инновационной инфраструктуры, проведенного в марте - мае 2016 г.</w:t>
      </w:r>
    </w:p>
    <w:p w:rsidR="00CA34B3" w:rsidRDefault="00CA34B3" w:rsidP="00CA34B3">
      <w:r>
        <w:lastRenderedPageBreak/>
        <w:t xml:space="preserve"> </w:t>
      </w:r>
      <w:r w:rsidR="00EF5F7C">
        <w:t>16</w:t>
      </w:r>
      <w:r>
        <w:t>. Охотский, Е. В.</w:t>
      </w:r>
    </w:p>
    <w:p w:rsidR="00EF5F7C" w:rsidRDefault="00CA34B3" w:rsidP="00EF5F7C">
      <w:r>
        <w:t xml:space="preserve">    Антикризисное государственное управление в условиях глобализации / Е. В. Охотский // Вопросы государственного и муниципального управления . – 2017. – № 1. – </w:t>
      </w:r>
      <w:r w:rsidR="00EF5F7C">
        <w:t>С. 213-232</w:t>
      </w:r>
    </w:p>
    <w:p w:rsidR="00CA34B3" w:rsidRDefault="00CA34B3" w:rsidP="00CA34B3"/>
    <w:p w:rsidR="00CA34B3" w:rsidRDefault="00CA34B3" w:rsidP="00CA34B3">
      <w:r>
        <w:t xml:space="preserve"> – Статья посвящена исследованию фактора глобализации в национальной системе государственного управления.  В статье представлен анализ конкретного управляющего антикризисного действия с учетом возможностей, трудностей и перспектив перевода страны в русло устойчивого социально-экономического и политического развития. В статье анализируются основные содержательные составляющие, принципы и приоритеты государственной антикризисной стратегии, а также соответствующих антикризисных планов и оперативных решений.</w:t>
      </w:r>
    </w:p>
    <w:p w:rsidR="00CA34B3" w:rsidRDefault="00CA34B3" w:rsidP="00CA34B3"/>
    <w:p w:rsidR="00CA34B3" w:rsidRDefault="00CA34B3" w:rsidP="00CA34B3"/>
    <w:p w:rsidR="00CA34B3" w:rsidRDefault="00EF5F7C" w:rsidP="00CA34B3">
      <w:r>
        <w:t>17</w:t>
      </w:r>
      <w:r w:rsidR="00CA34B3">
        <w:t>. Шадрина, Е. В.</w:t>
      </w:r>
    </w:p>
    <w:p w:rsidR="00CA34B3" w:rsidRDefault="00CA34B3" w:rsidP="00CA34B3">
      <w:r>
        <w:t xml:space="preserve">    Государственные закупки для устойчивого развития: международный опыт / Е. В. Шадрина, И. В. Ромодина // Вопросы государственного и муниципального управления . – 2017. – № 1. – С. 149-172</w:t>
      </w:r>
    </w:p>
    <w:p w:rsidR="00EF5F7C" w:rsidRDefault="00EF5F7C" w:rsidP="00CA34B3"/>
    <w:p w:rsidR="00CA34B3" w:rsidRDefault="00CA34B3" w:rsidP="00CA34B3">
      <w:r>
        <w:t xml:space="preserve"> – Как государственные закупки могут способствовать устойчивому развитию, какова международная практика такого рода закупок, какое правовое регулирование требуется для реализации устойчивых закупок, какие факторы способствуют и препятствуют внедрению устойчивых закупок - эти вопросы рассматриваются в данной статье. Основываясь на анализе зарубежных научных исследований, отчетов международных организаций, правовых актов, изучении международного опыта применения устойчивых закупок, авторы делают выводы о том, почему государственные закупки могут способствовать устойчивому развитию, о необходимой правовой и политической поддержке закупок.</w:t>
      </w:r>
    </w:p>
    <w:p w:rsidR="00CA34B3" w:rsidRDefault="00CA34B3" w:rsidP="00CA34B3"/>
    <w:p w:rsidR="00CA34B3" w:rsidRDefault="00CA34B3" w:rsidP="00CA34B3"/>
    <w:p w:rsidR="00EF5F7C" w:rsidRDefault="00EF5F7C" w:rsidP="00EF5F7C">
      <w:r>
        <w:t>18.</w:t>
      </w:r>
      <w:r w:rsidRPr="00EF5F7C">
        <w:t xml:space="preserve"> </w:t>
      </w:r>
      <w:r>
        <w:t>Гафурова, Г. Т.</w:t>
      </w:r>
    </w:p>
    <w:p w:rsidR="00EF5F7C" w:rsidRDefault="00EF5F7C" w:rsidP="00EF5F7C">
      <w:r>
        <w:t xml:space="preserve">    Государственные закупки как инструмент развития малого и среднего предпринимательства в России / Г. Т. Гафурова, С. П. Фукина, Г. Н. Нотфуллина // Экономика региона. – 2016. – Т. 12 (№ 4). – С. 1218-1232</w:t>
      </w:r>
    </w:p>
    <w:p w:rsidR="008D7699" w:rsidRDefault="008D7699" w:rsidP="00EF5F7C"/>
    <w:p w:rsidR="00EF5F7C" w:rsidRDefault="00EF5F7C" w:rsidP="00EF5F7C">
      <w:r>
        <w:t xml:space="preserve"> – В статье рассматриваются вопросы поддержки малого предпринимательства через систему государственных закупок. В рамках представленного исследования авторы попытались систематизировать данные о динамике (с момента принятия закона о государственных заказах) и структуре государственных закупок с точки зрения участия малого бизнеса в закупочном процессе, что позволило выявить определенные тенденции. На основе панельных данных за период 2011-2015 гг. единой информационной системы государственных и муниципальных закупок были построены эконометрические модели, подтвердившие выдвинутые гипотезы. Авторские расчеты могут использоваться органами власти для дальнейшего развития мер поддержки субъектов малого предпринимательства через систему государственных закупок.</w:t>
      </w:r>
    </w:p>
    <w:p w:rsidR="00EF5F7C" w:rsidRDefault="00EF5F7C" w:rsidP="00EF5F7C"/>
    <w:p w:rsidR="00EF5F7C" w:rsidRDefault="00EF5F7C" w:rsidP="00EF5F7C"/>
    <w:p w:rsidR="00EF5F7C" w:rsidRDefault="00001A9D" w:rsidP="00EF5F7C">
      <w:r>
        <w:t>19</w:t>
      </w:r>
      <w:r w:rsidR="00EF5F7C">
        <w:t>. Карлик, А. Е.</w:t>
      </w:r>
    </w:p>
    <w:p w:rsidR="00EF5F7C" w:rsidRDefault="00EF5F7C" w:rsidP="00EF5F7C">
      <w:r>
        <w:t xml:space="preserve">    Межотраслевые территориальные инновационные сети / А. Е. Карлик, В. В. Платонов // Экономика региона. – 2016. – Т. 12 (№ 4). – С. 1218-1232</w:t>
      </w:r>
    </w:p>
    <w:p w:rsidR="00EF5F7C" w:rsidRDefault="00EF5F7C" w:rsidP="00EF5F7C">
      <w:r>
        <w:t xml:space="preserve"> – Цель статьи состоит в разработке концептуального подхода к исследованию ключевых факторов принятия управленческих решений в межотраслевых территориальных инновационных сетях с его апробацией применительно к инновационно-технологическому кластеру машиностроения и металлообработки. В статье применена структурно-логическая модель принятия стратегических решений для анализа влияния на результативность инновационной деятельности возможностей и ограничений таких сетей. Результаты анализа ориентированы на использование на уровне хозяйствующих субъектов, а также на уровне промышленной и региональной экономической политики.</w:t>
      </w:r>
    </w:p>
    <w:p w:rsidR="00EF5F7C" w:rsidRDefault="00EF5F7C" w:rsidP="00EF5F7C"/>
    <w:p w:rsidR="00EF5F7C" w:rsidRDefault="00EF5F7C" w:rsidP="00EF5F7C"/>
    <w:p w:rsidR="00EF5F7C" w:rsidRDefault="00001A9D" w:rsidP="00EF5F7C">
      <w:r>
        <w:t>20</w:t>
      </w:r>
      <w:r w:rsidR="00EF5F7C">
        <w:t>. Кузнецова, Н. В.</w:t>
      </w:r>
    </w:p>
    <w:p w:rsidR="00EF5F7C" w:rsidRDefault="00EF5F7C" w:rsidP="00EF5F7C">
      <w:r>
        <w:t xml:space="preserve">    Проблемы и инструментарий выявления угроз кадровой безопасности региона / Н. В. Кузнецова, А. Ю. Тимофеева // Экономика региона. – 2016. – Т. 12 (№ 4). – С. 1123-1134</w:t>
      </w:r>
    </w:p>
    <w:p w:rsidR="00EF5F7C" w:rsidRDefault="00EF5F7C" w:rsidP="00EF5F7C">
      <w:r>
        <w:t xml:space="preserve"> – На основе контент-анализа российских нормативно-правовых актов и научных публикаций выделены внешние и внутренние угрозы кадровой безопасности региона (исследование выполнено на примере Иркутской области). В итоге был составлен перечень угроз кадровой безопасности региона, дана оценка остроты и актуальности угроз кадровой безопасности. Полученные результаты могут быть использованы для изучения и выявления угроз кадровой безопасности, характерных для отдельного региона, могут являться основой для прогнозирования и анализа угроз кадровой безопасности региона, разработки методов противодействия им.</w:t>
      </w:r>
    </w:p>
    <w:p w:rsidR="00001A9D" w:rsidRDefault="00001A9D" w:rsidP="00EF5F7C"/>
    <w:p w:rsidR="00001A9D" w:rsidRDefault="00001A9D" w:rsidP="00001A9D">
      <w:r>
        <w:lastRenderedPageBreak/>
        <w:t>21. Наступление финтеха: Финтех делает финансовый мир более дешевым и менее враждебным для большинства граждан // Эксперт. – 2017. – № 15. – С. 33-47. – Специальный доклад</w:t>
      </w:r>
    </w:p>
    <w:p w:rsidR="008D7699" w:rsidRDefault="008D7699" w:rsidP="00001A9D"/>
    <w:p w:rsidR="00001A9D" w:rsidRDefault="00001A9D" w:rsidP="00001A9D">
      <w:r>
        <w:t xml:space="preserve"> – "Финтех - это применение цифровых технологий для предоставления финансовых услуг", - говорит Жанна Смирнова, эксперт Центра стратегических разработок по направлению "макроэкономика".</w:t>
      </w:r>
    </w:p>
    <w:p w:rsidR="00001A9D" w:rsidRDefault="00001A9D" w:rsidP="00001A9D">
      <w:r>
        <w:t>-Информационные технологии – Инновации – Блокчейн</w:t>
      </w:r>
    </w:p>
    <w:p w:rsidR="008D7699" w:rsidRDefault="008D7699" w:rsidP="00001A9D"/>
    <w:p w:rsidR="00001A9D" w:rsidRDefault="00001A9D" w:rsidP="00001A9D"/>
    <w:p w:rsidR="00884D93" w:rsidRDefault="00001A9D" w:rsidP="00884D93">
      <w:r>
        <w:t xml:space="preserve">22. </w:t>
      </w:r>
      <w:r w:rsidR="00884D93">
        <w:t>Архангельский, В. Н.</w:t>
      </w:r>
    </w:p>
    <w:p w:rsidR="00884D93" w:rsidRDefault="00884D93" w:rsidP="00884D93">
      <w:r>
        <w:t xml:space="preserve">    Современные тенденции рождаемости в России и влияние мер государственной поддержки / В. Н. Архангельский [и др.] // Социологические исследования. – 2017. – № 3. – С. 43-50</w:t>
      </w:r>
    </w:p>
    <w:p w:rsidR="00884D93" w:rsidRDefault="00884D93" w:rsidP="00884D93"/>
    <w:p w:rsidR="00884D93" w:rsidRDefault="00884D93" w:rsidP="00884D93"/>
    <w:p w:rsidR="00884D93" w:rsidRDefault="00884D93" w:rsidP="00884D93">
      <w:r>
        <w:t>23. Воронцов, Д. И.</w:t>
      </w:r>
    </w:p>
    <w:p w:rsidR="00884D93" w:rsidRDefault="00884D93" w:rsidP="00884D93">
      <w:r>
        <w:t xml:space="preserve">    Роль государственного контроля в контексте применения международных стандартов в сфере охраны труда: правовой и экономический аспекты</w:t>
      </w:r>
      <w:r>
        <w:tab/>
        <w:t xml:space="preserve"> / Д. И. Воронцов // Право и экономика. Документы. Комментарии. Практика. – 2017. – № 3. – С. 75-79</w:t>
      </w:r>
    </w:p>
    <w:p w:rsidR="008D7699" w:rsidRDefault="008D7699" w:rsidP="00884D93"/>
    <w:p w:rsidR="00884D93" w:rsidRDefault="00884D93" w:rsidP="00884D93">
      <w:r>
        <w:t xml:space="preserve"> – В рамках статьи рассматривается роль государственного контроля в контексте применения международных стандартов в сфере охраны труда, с учетом развития систем управления охраной труда, значимостью положения государства в рамках социального партнерства по вопросам обеспечения безопасности и гигиены труда, а также особым местом инспекции труда в процессе проведения проверки соответствия условий труда в организации требованиям отечественных и международных стандартов и перспектив ее развития.</w:t>
      </w:r>
    </w:p>
    <w:p w:rsidR="00884D93" w:rsidRDefault="00884D93" w:rsidP="00884D93"/>
    <w:p w:rsidR="00884D93" w:rsidRDefault="00884D93" w:rsidP="00884D93"/>
    <w:p w:rsidR="00884D93" w:rsidRDefault="00884D93" w:rsidP="00884D93">
      <w:r>
        <w:t>24. Гусев, А.</w:t>
      </w:r>
    </w:p>
    <w:p w:rsidR="00884D93" w:rsidRDefault="00884D93" w:rsidP="00884D93">
      <w:r>
        <w:t xml:space="preserve">    Города федерального значения как источник экономического роста / А. Гусев, М. Юревич // Общество и экономика. – 2017. – № 2. – С. 53-70</w:t>
      </w:r>
    </w:p>
    <w:p w:rsidR="00884D93" w:rsidRDefault="00884D93" w:rsidP="00884D93">
      <w:r>
        <w:t xml:space="preserve"> – Рассматривается присвоение 13 российским городам - миллионникам статуса «город федерального значения» как реформа внутреннего экономического пространства, направленная на активизацию новых точек форсированного экономического роста. Оценены положительные экономические последствия такого шага, которые выражаются в повышении устойчивости внутреннего экономического пространства благодаря 2-х кратному увеличению ВРП городов - миллионников в течение 10 лет с момента проведения реформы.</w:t>
      </w:r>
    </w:p>
    <w:p w:rsidR="00884D93" w:rsidRDefault="00884D93" w:rsidP="00884D93"/>
    <w:p w:rsidR="00884D93" w:rsidRDefault="00884D93" w:rsidP="00884D93"/>
    <w:p w:rsidR="00884D93" w:rsidRDefault="00884D93" w:rsidP="00884D93"/>
    <w:p w:rsidR="00884D93" w:rsidRDefault="00884D93" w:rsidP="00884D93"/>
    <w:p w:rsidR="00884D93" w:rsidRDefault="00884D93" w:rsidP="00884D93"/>
    <w:p w:rsidR="00001A9D" w:rsidRDefault="00001A9D" w:rsidP="00001A9D"/>
    <w:p w:rsidR="00001A9D" w:rsidRDefault="00001A9D" w:rsidP="00EF5F7C"/>
    <w:p w:rsidR="00EF5F7C" w:rsidRDefault="00EF5F7C" w:rsidP="00EF5F7C"/>
    <w:p w:rsidR="00EF5F7C" w:rsidRDefault="00EF5F7C" w:rsidP="00EF5F7C"/>
    <w:p w:rsidR="00CA34B3" w:rsidRDefault="00CA34B3" w:rsidP="00CA34B3"/>
    <w:sectPr w:rsidR="00CA34B3" w:rsidSect="001A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667F1"/>
    <w:rsid w:val="00001A9D"/>
    <w:rsid w:val="000469D3"/>
    <w:rsid w:val="00055A75"/>
    <w:rsid w:val="000A7958"/>
    <w:rsid w:val="000B6183"/>
    <w:rsid w:val="000B73F4"/>
    <w:rsid w:val="000D4694"/>
    <w:rsid w:val="00115AFF"/>
    <w:rsid w:val="00122270"/>
    <w:rsid w:val="0013494A"/>
    <w:rsid w:val="0014100D"/>
    <w:rsid w:val="001527FB"/>
    <w:rsid w:val="00156CAD"/>
    <w:rsid w:val="00174B25"/>
    <w:rsid w:val="001767D8"/>
    <w:rsid w:val="00184CB2"/>
    <w:rsid w:val="00192C8C"/>
    <w:rsid w:val="001A1974"/>
    <w:rsid w:val="001E3CA3"/>
    <w:rsid w:val="001E43D1"/>
    <w:rsid w:val="00222FDC"/>
    <w:rsid w:val="00237F22"/>
    <w:rsid w:val="0029013C"/>
    <w:rsid w:val="002A5CFA"/>
    <w:rsid w:val="002F428F"/>
    <w:rsid w:val="00311526"/>
    <w:rsid w:val="00355CFA"/>
    <w:rsid w:val="00360A90"/>
    <w:rsid w:val="003667F1"/>
    <w:rsid w:val="003933C8"/>
    <w:rsid w:val="00395C52"/>
    <w:rsid w:val="00395F30"/>
    <w:rsid w:val="003B044C"/>
    <w:rsid w:val="003B18B0"/>
    <w:rsid w:val="003C2FE7"/>
    <w:rsid w:val="003C54C6"/>
    <w:rsid w:val="003E1654"/>
    <w:rsid w:val="003F5A2E"/>
    <w:rsid w:val="00403D0E"/>
    <w:rsid w:val="00421599"/>
    <w:rsid w:val="00426572"/>
    <w:rsid w:val="00471780"/>
    <w:rsid w:val="004A64B1"/>
    <w:rsid w:val="004F2676"/>
    <w:rsid w:val="005052BD"/>
    <w:rsid w:val="00543973"/>
    <w:rsid w:val="0058626E"/>
    <w:rsid w:val="00595064"/>
    <w:rsid w:val="005A161E"/>
    <w:rsid w:val="006434B1"/>
    <w:rsid w:val="006D3E18"/>
    <w:rsid w:val="007121EC"/>
    <w:rsid w:val="00767FF4"/>
    <w:rsid w:val="0077649F"/>
    <w:rsid w:val="00813DD4"/>
    <w:rsid w:val="00821752"/>
    <w:rsid w:val="00845B11"/>
    <w:rsid w:val="0086610F"/>
    <w:rsid w:val="00884D93"/>
    <w:rsid w:val="008876E6"/>
    <w:rsid w:val="008B47EA"/>
    <w:rsid w:val="008D7699"/>
    <w:rsid w:val="00901E88"/>
    <w:rsid w:val="009050DE"/>
    <w:rsid w:val="00953CCC"/>
    <w:rsid w:val="00974A18"/>
    <w:rsid w:val="00980AE4"/>
    <w:rsid w:val="009B1EAD"/>
    <w:rsid w:val="009C06F8"/>
    <w:rsid w:val="009C6559"/>
    <w:rsid w:val="009E2370"/>
    <w:rsid w:val="009E376E"/>
    <w:rsid w:val="00A2159A"/>
    <w:rsid w:val="00A50E93"/>
    <w:rsid w:val="00A75680"/>
    <w:rsid w:val="00A9103A"/>
    <w:rsid w:val="00AD03D2"/>
    <w:rsid w:val="00AE01E9"/>
    <w:rsid w:val="00AF6F30"/>
    <w:rsid w:val="00B144FC"/>
    <w:rsid w:val="00B507E2"/>
    <w:rsid w:val="00BC1CF1"/>
    <w:rsid w:val="00BC277D"/>
    <w:rsid w:val="00BF28AA"/>
    <w:rsid w:val="00BF6C7B"/>
    <w:rsid w:val="00C27047"/>
    <w:rsid w:val="00C60FAF"/>
    <w:rsid w:val="00C662B0"/>
    <w:rsid w:val="00CA34B3"/>
    <w:rsid w:val="00CC4C00"/>
    <w:rsid w:val="00D0612C"/>
    <w:rsid w:val="00D30B8C"/>
    <w:rsid w:val="00DB641B"/>
    <w:rsid w:val="00DE30E7"/>
    <w:rsid w:val="00E37AD2"/>
    <w:rsid w:val="00E7502F"/>
    <w:rsid w:val="00E7509E"/>
    <w:rsid w:val="00EB6CFC"/>
    <w:rsid w:val="00EE7918"/>
    <w:rsid w:val="00EF5F7C"/>
    <w:rsid w:val="00EF6F95"/>
    <w:rsid w:val="00F231C0"/>
    <w:rsid w:val="00F81A54"/>
    <w:rsid w:val="00F83B61"/>
    <w:rsid w:val="00FC6499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2017-05-05T07:27:00Z</dcterms:created>
  <dcterms:modified xsi:type="dcterms:W3CDTF">2017-05-05T07:27:00Z</dcterms:modified>
</cp:coreProperties>
</file>